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5FEF0677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2F711D">
        <w:rPr>
          <w:b/>
          <w:lang w:val="en-GB"/>
        </w:rPr>
        <w:t xml:space="preserve"> </w:t>
      </w:r>
      <w:r w:rsidR="002F711D" w:rsidRPr="003776F3">
        <w:rPr>
          <w:b/>
          <w:bCs/>
          <w:lang w:val="en-GB"/>
        </w:rPr>
        <w:t>41-w001-25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20A8FEA" w14:textId="031C5A4F" w:rsidR="00985F4E" w:rsidRPr="00985F4E" w:rsidRDefault="00C44890" w:rsidP="00983114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6AE999EA" w14:textId="274F1390" w:rsidR="00985F4E" w:rsidRPr="00985F4E" w:rsidRDefault="00985F4E" w:rsidP="00985F4E">
      <w:r w:rsidRPr="00985F4E">
        <w:t xml:space="preserve">The IFM fence at </w:t>
      </w:r>
      <w:r w:rsidR="00020524">
        <w:t xml:space="preserve">Bairiki </w:t>
      </w:r>
      <w:r w:rsidRPr="00985F4E">
        <w:t>Tabonteauabu was constructed in 2015 and is estimated to be approximately 10 years old. This fence plays a vital role in securing the CPPL building, its premises, and other essential assets by preventing unauthorized access from open areas.</w:t>
      </w:r>
    </w:p>
    <w:p w14:paraId="5CA2285C" w14:textId="0AB120E4" w:rsidR="00985F4E" w:rsidRPr="00983114" w:rsidRDefault="00985F4E" w:rsidP="00985F4E">
      <w:r w:rsidRPr="00985F4E">
        <w:t xml:space="preserve">However, CPPL has significant concerns regarding its current condition, as the fence is no longer secure. It has multiple gaps, </w:t>
      </w:r>
      <w:r w:rsidR="008549B6">
        <w:t xml:space="preserve">and </w:t>
      </w:r>
      <w:r w:rsidRPr="00985F4E">
        <w:t>visible damage</w:t>
      </w:r>
      <w:r w:rsidR="002840FC">
        <w:t xml:space="preserve">s </w:t>
      </w:r>
      <w:r w:rsidRPr="00985F4E">
        <w:t xml:space="preserve">which could potentially allow unauthorized entry from various </w:t>
      </w:r>
      <w:r w:rsidR="00932019">
        <w:t>breaches</w:t>
      </w:r>
      <w:r w:rsidRPr="00985F4E">
        <w:t>. Therefore, the upgrading and renovation of this fence are necessary to ensure the safety and security of the premises.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63B9B8A8" w14:textId="0A945304" w:rsidR="002A4740" w:rsidRDefault="00A173B2" w:rsidP="00C44890">
      <w:pPr>
        <w:rPr>
          <w:lang w:val="en-GB"/>
        </w:rPr>
      </w:pPr>
      <w:r>
        <w:rPr>
          <w:lang w:val="en-GB"/>
        </w:rPr>
        <w:t xml:space="preserve">- </w:t>
      </w:r>
      <w:r w:rsidR="002F711D">
        <w:rPr>
          <w:lang w:val="en-GB"/>
        </w:rPr>
        <w:t>Refer to template 2 (The instruction on how to submit a proposal)</w:t>
      </w:r>
      <w:r w:rsidR="00E402B3">
        <w:rPr>
          <w:lang w:val="en-GB"/>
        </w:rPr>
        <w:t xml:space="preserve"> for the documents required</w:t>
      </w:r>
    </w:p>
    <w:p w14:paraId="5C216C37" w14:textId="537D1A9E" w:rsidR="002F711D" w:rsidRPr="00B0535A" w:rsidRDefault="00A173B2" w:rsidP="00C44890">
      <w:pPr>
        <w:rPr>
          <w:lang w:val="en-GB"/>
        </w:rPr>
      </w:pPr>
      <w:r>
        <w:rPr>
          <w:lang w:val="en-GB"/>
        </w:rPr>
        <w:t xml:space="preserve">- </w:t>
      </w:r>
      <w:r w:rsidR="002F711D">
        <w:rPr>
          <w:lang w:val="en-GB"/>
        </w:rPr>
        <w:t>Refer to template 5 (Evaluation criteria and Methods)</w:t>
      </w:r>
      <w:r w:rsidR="00E402B3">
        <w:rPr>
          <w:lang w:val="en-GB"/>
        </w:rPr>
        <w:t xml:space="preserve"> for criteria to be used during evaluation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571CE4CC" w14:textId="4EA1C9BF" w:rsidR="00B0134F" w:rsidRDefault="00B0134F" w:rsidP="00C44890">
      <w:pPr>
        <w:rPr>
          <w:lang w:val="en-GB"/>
        </w:rPr>
      </w:pPr>
      <w:r>
        <w:rPr>
          <w:lang w:val="en-GB"/>
        </w:rPr>
        <w:t>-</w:t>
      </w:r>
      <w:r w:rsidR="00A173B2">
        <w:rPr>
          <w:lang w:val="en-GB"/>
        </w:rPr>
        <w:t xml:space="preserve"> </w:t>
      </w:r>
      <w:r>
        <w:rPr>
          <w:lang w:val="en-GB"/>
        </w:rPr>
        <w:t>Demolishing of existing fence</w:t>
      </w:r>
    </w:p>
    <w:p w14:paraId="3321152F" w14:textId="4D67CE98" w:rsidR="00C44890" w:rsidRPr="00B0535A" w:rsidRDefault="00B0134F" w:rsidP="00C44890">
      <w:pPr>
        <w:rPr>
          <w:lang w:val="en-GB"/>
        </w:rPr>
      </w:pPr>
      <w:r>
        <w:rPr>
          <w:lang w:val="en-GB"/>
        </w:rPr>
        <w:t>-</w:t>
      </w:r>
      <w:r w:rsidR="00A173B2">
        <w:rPr>
          <w:lang w:val="en-GB"/>
        </w:rPr>
        <w:t xml:space="preserve"> </w:t>
      </w:r>
      <w:r w:rsidR="002F711D">
        <w:rPr>
          <w:lang w:val="en-GB"/>
        </w:rPr>
        <w:t>Fence renovation</w:t>
      </w:r>
      <w:r w:rsidR="001164C0">
        <w:rPr>
          <w:lang w:val="en-GB"/>
        </w:rPr>
        <w:t xml:space="preserve"> and upgrading</w:t>
      </w:r>
      <w:r w:rsidR="002F711D">
        <w:rPr>
          <w:lang w:val="en-GB"/>
        </w:rPr>
        <w:t xml:space="preserve"> only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7748AE83" w:rsidR="00C44890" w:rsidRPr="00B0535A" w:rsidRDefault="00484B67" w:rsidP="00484B67">
      <w:pPr>
        <w:rPr>
          <w:lang w:val="en-GB"/>
        </w:rPr>
      </w:pPr>
      <w:r>
        <w:rPr>
          <w:lang w:val="en-GB"/>
        </w:rPr>
        <w:t>- 1 month’s duration</w:t>
      </w:r>
      <w:r w:rsidR="00B5330B">
        <w:rPr>
          <w:lang w:val="en-GB"/>
        </w:rPr>
        <w:t xml:space="preserve"> (20 calendar days)</w:t>
      </w:r>
      <w:r>
        <w:rPr>
          <w:lang w:val="en-GB"/>
        </w:rPr>
        <w:t xml:space="preserve"> for project completion 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4CD3FEDA" w14:textId="30EACFE1" w:rsidR="005D1D4A" w:rsidRPr="004368F7" w:rsidRDefault="005D1D4A" w:rsidP="00C44890">
      <w:pPr>
        <w:rPr>
          <w:b/>
          <w:bCs/>
          <w:i/>
          <w:iCs/>
          <w:lang w:val="en-GB"/>
        </w:rPr>
      </w:pPr>
      <w:r w:rsidRPr="004368F7">
        <w:rPr>
          <w:b/>
          <w:bCs/>
          <w:i/>
          <w:iCs/>
          <w:lang w:val="en-GB"/>
        </w:rPr>
        <w:t xml:space="preserve">Refer to the design and </w:t>
      </w:r>
      <w:r w:rsidR="004368F7">
        <w:rPr>
          <w:b/>
          <w:bCs/>
          <w:i/>
          <w:iCs/>
          <w:lang w:val="en-GB"/>
        </w:rPr>
        <w:t>b</w:t>
      </w:r>
      <w:r w:rsidRPr="004368F7">
        <w:rPr>
          <w:b/>
          <w:bCs/>
          <w:i/>
          <w:iCs/>
          <w:lang w:val="en-GB"/>
        </w:rPr>
        <w:t>ill of quantity (BOQ)</w:t>
      </w:r>
      <w:r w:rsidR="00125BEF" w:rsidRPr="004368F7">
        <w:rPr>
          <w:b/>
          <w:bCs/>
          <w:i/>
          <w:iCs/>
          <w:lang w:val="en-GB"/>
        </w:rPr>
        <w:t xml:space="preserve"> for further details </w:t>
      </w:r>
      <w:r w:rsidR="00933687">
        <w:rPr>
          <w:b/>
          <w:bCs/>
          <w:i/>
          <w:iCs/>
          <w:lang w:val="en-GB"/>
        </w:rPr>
        <w:t>(Annex A &amp; B)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9627" w:type="dxa"/>
        <w:tblLook w:val="04A0" w:firstRow="1" w:lastRow="0" w:firstColumn="1" w:lastColumn="0" w:noHBand="0" w:noVBand="1"/>
      </w:tblPr>
      <w:tblGrid>
        <w:gridCol w:w="645"/>
        <w:gridCol w:w="4744"/>
        <w:gridCol w:w="1938"/>
        <w:gridCol w:w="2300"/>
      </w:tblGrid>
      <w:tr w:rsidR="00255437" w:rsidRPr="00B0535A" w14:paraId="7BA20976" w14:textId="59B94A2B" w:rsidTr="002F25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744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38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300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6D7AC2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744" w:type="dxa"/>
          </w:tcPr>
          <w:p w14:paraId="6A4A0819" w14:textId="34D7925A" w:rsidR="00255437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Preliminary </w:t>
            </w:r>
          </w:p>
        </w:tc>
        <w:tc>
          <w:tcPr>
            <w:tcW w:w="1938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6D7AC2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744" w:type="dxa"/>
          </w:tcPr>
          <w:p w14:paraId="33F7DABB" w14:textId="490AF7AB" w:rsidR="00255437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Demolishing </w:t>
            </w:r>
          </w:p>
        </w:tc>
        <w:tc>
          <w:tcPr>
            <w:tcW w:w="1938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6D7AC2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744" w:type="dxa"/>
          </w:tcPr>
          <w:p w14:paraId="2B307F71" w14:textId="43AD11EC" w:rsidR="00255437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Excavation </w:t>
            </w:r>
          </w:p>
        </w:tc>
        <w:tc>
          <w:tcPr>
            <w:tcW w:w="1938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6D7AC2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744" w:type="dxa"/>
          </w:tcPr>
          <w:p w14:paraId="5390BBF6" w14:textId="38AC1314" w:rsidR="00255437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Block and concrete working</w:t>
            </w:r>
          </w:p>
        </w:tc>
        <w:tc>
          <w:tcPr>
            <w:tcW w:w="1938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D1D4A" w:rsidRPr="00B0535A" w14:paraId="41DB38FD" w14:textId="77777777" w:rsidTr="006D7AC2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5FBB197D" w14:textId="6F9DDDC6" w:rsidR="005D1D4A" w:rsidRPr="00B0535A" w:rsidRDefault="005D1D4A" w:rsidP="00C44890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5</w:t>
            </w:r>
          </w:p>
        </w:tc>
        <w:tc>
          <w:tcPr>
            <w:tcW w:w="4744" w:type="dxa"/>
          </w:tcPr>
          <w:p w14:paraId="27CDADFF" w14:textId="0943F2BB" w:rsidR="005D1D4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Metal working</w:t>
            </w:r>
          </w:p>
        </w:tc>
        <w:tc>
          <w:tcPr>
            <w:tcW w:w="1938" w:type="dxa"/>
          </w:tcPr>
          <w:p w14:paraId="1898E475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3C8127A8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D1D4A" w:rsidRPr="00B0535A" w14:paraId="7D2AD798" w14:textId="77777777" w:rsidTr="006D7AC2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306DB891" w14:textId="3B23F5F8" w:rsidR="005D1D4A" w:rsidRPr="00B0535A" w:rsidRDefault="005D1D4A" w:rsidP="00C44890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744" w:type="dxa"/>
          </w:tcPr>
          <w:p w14:paraId="7C4E65B1" w14:textId="7E9F2A3A" w:rsidR="005D1D4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Painting and decoration </w:t>
            </w:r>
          </w:p>
        </w:tc>
        <w:tc>
          <w:tcPr>
            <w:tcW w:w="1938" w:type="dxa"/>
          </w:tcPr>
          <w:p w14:paraId="66A04164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2CF9908A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D1D4A" w:rsidRPr="00B0535A" w14:paraId="025B2549" w14:textId="77777777" w:rsidTr="006D7AC2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5" w:type="dxa"/>
          </w:tcPr>
          <w:p w14:paraId="356EA898" w14:textId="7DB20675" w:rsidR="005D1D4A" w:rsidRDefault="005D1D4A" w:rsidP="00C44890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744" w:type="dxa"/>
          </w:tcPr>
          <w:p w14:paraId="71469307" w14:textId="2C6BCEC0" w:rsidR="005D1D4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Finishing </w:t>
            </w:r>
          </w:p>
        </w:tc>
        <w:tc>
          <w:tcPr>
            <w:tcW w:w="1938" w:type="dxa"/>
          </w:tcPr>
          <w:p w14:paraId="3B835C25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300" w:type="dxa"/>
          </w:tcPr>
          <w:p w14:paraId="3972C0CC" w14:textId="77777777" w:rsidR="005D1D4A" w:rsidRPr="00B0535A" w:rsidRDefault="005D1D4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4DA03" w14:textId="77777777" w:rsidR="00EC0097" w:rsidRDefault="00EC0097">
      <w:r>
        <w:separator/>
      </w:r>
    </w:p>
  </w:endnote>
  <w:endnote w:type="continuationSeparator" w:id="0">
    <w:p w14:paraId="67BE8EC0" w14:textId="77777777" w:rsidR="00EC0097" w:rsidRDefault="00EC0097">
      <w:r>
        <w:continuationSeparator/>
      </w:r>
    </w:p>
  </w:endnote>
  <w:endnote w:type="continuationNotice" w:id="1">
    <w:p w14:paraId="3C97904B" w14:textId="77777777" w:rsidR="00EC0097" w:rsidRDefault="00EC0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A60ACA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33687">
      <w:rPr>
        <w:noProof/>
      </w:rPr>
      <w:t>2025-08-18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D00E" w14:textId="77777777" w:rsidR="00EC0097" w:rsidRDefault="00EC0097">
      <w:r>
        <w:separator/>
      </w:r>
    </w:p>
  </w:footnote>
  <w:footnote w:type="continuationSeparator" w:id="0">
    <w:p w14:paraId="0B9FD00F" w14:textId="77777777" w:rsidR="00EC0097" w:rsidRDefault="00EC0097">
      <w:r>
        <w:continuationSeparator/>
      </w:r>
    </w:p>
  </w:footnote>
  <w:footnote w:type="continuationNotice" w:id="1">
    <w:p w14:paraId="7501CADA" w14:textId="77777777" w:rsidR="00EC0097" w:rsidRDefault="00EC0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20700AD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5539">
    <w:abstractNumId w:val="1"/>
  </w:num>
  <w:num w:numId="2" w16cid:durableId="948006010">
    <w:abstractNumId w:val="13"/>
  </w:num>
  <w:num w:numId="3" w16cid:durableId="1570967805">
    <w:abstractNumId w:val="14"/>
  </w:num>
  <w:num w:numId="4" w16cid:durableId="1123617728">
    <w:abstractNumId w:val="5"/>
  </w:num>
  <w:num w:numId="5" w16cid:durableId="314532342">
    <w:abstractNumId w:val="4"/>
  </w:num>
  <w:num w:numId="6" w16cid:durableId="1505122733">
    <w:abstractNumId w:val="9"/>
  </w:num>
  <w:num w:numId="7" w16cid:durableId="168910412">
    <w:abstractNumId w:val="6"/>
  </w:num>
  <w:num w:numId="8" w16cid:durableId="1670323803">
    <w:abstractNumId w:val="11"/>
  </w:num>
  <w:num w:numId="9" w16cid:durableId="215286860">
    <w:abstractNumId w:val="0"/>
  </w:num>
  <w:num w:numId="10" w16cid:durableId="1426612128">
    <w:abstractNumId w:val="10"/>
  </w:num>
  <w:num w:numId="11" w16cid:durableId="1202942806">
    <w:abstractNumId w:val="2"/>
  </w:num>
  <w:num w:numId="12" w16cid:durableId="152335101">
    <w:abstractNumId w:val="8"/>
  </w:num>
  <w:num w:numId="13" w16cid:durableId="900561181">
    <w:abstractNumId w:val="12"/>
  </w:num>
  <w:num w:numId="14" w16cid:durableId="1232732676">
    <w:abstractNumId w:val="3"/>
  </w:num>
  <w:num w:numId="15" w16cid:durableId="5079124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52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92A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4315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F91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62A"/>
    <w:rsid w:val="00114321"/>
    <w:rsid w:val="00114C10"/>
    <w:rsid w:val="001164C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5BEF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0A34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D7A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40FC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520"/>
    <w:rsid w:val="002F2853"/>
    <w:rsid w:val="002F292D"/>
    <w:rsid w:val="002F519F"/>
    <w:rsid w:val="002F58E8"/>
    <w:rsid w:val="002F711D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6F3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8F7"/>
    <w:rsid w:val="00436EB5"/>
    <w:rsid w:val="00436FFA"/>
    <w:rsid w:val="00437587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6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1D4A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026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AC2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49B6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466"/>
    <w:rsid w:val="009262A8"/>
    <w:rsid w:val="0092781E"/>
    <w:rsid w:val="009279DF"/>
    <w:rsid w:val="00930507"/>
    <w:rsid w:val="00931382"/>
    <w:rsid w:val="00932019"/>
    <w:rsid w:val="00932FEA"/>
    <w:rsid w:val="00933687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114"/>
    <w:rsid w:val="00983425"/>
    <w:rsid w:val="00983474"/>
    <w:rsid w:val="00985F4E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3B2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34F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330B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127C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3BE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45D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25B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107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2B3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097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0EE8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167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47C9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113</TotalTime>
  <Pages>5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1942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40</cp:revision>
  <cp:lastPrinted>2013-10-18T08:32:00Z</cp:lastPrinted>
  <dcterms:created xsi:type="dcterms:W3CDTF">2020-07-06T13:10:00Z</dcterms:created>
  <dcterms:modified xsi:type="dcterms:W3CDTF">2025-08-18T02:01:00Z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